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19617D67" w:rsidR="00096C99" w:rsidRPr="00CE16B0" w:rsidRDefault="00096C99" w:rsidP="00096C99">
      <w:pPr>
        <w:spacing w:line="440" w:lineRule="exact"/>
        <w:ind w:right="-1"/>
        <w:jc w:val="center"/>
        <w:rPr>
          <w:rStyle w:val="st"/>
          <w:b/>
        </w:rPr>
      </w:pPr>
      <w:r>
        <w:rPr>
          <w:rStyle w:val="st"/>
          <w:b/>
        </w:rPr>
        <w:t>The 201</w:t>
      </w:r>
      <w:r w:rsidR="003169A0">
        <w:rPr>
          <w:rStyle w:val="st"/>
          <w:rFonts w:hint="eastAsia"/>
          <w:b/>
        </w:rPr>
        <w:t>9</w:t>
      </w:r>
      <w:r w:rsidRPr="00641EE7">
        <w:rPr>
          <w:rStyle w:val="st"/>
          <w:b/>
        </w:rPr>
        <w:t xml:space="preserve"> 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38BB4E37" w:rsidR="00096C99" w:rsidRPr="00CE16B0" w:rsidRDefault="00096C99" w:rsidP="00096C99">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 06/</w:t>
      </w:r>
      <w:r>
        <w:rPr>
          <w:rFonts w:eastAsia="標楷體" w:hint="eastAsia"/>
          <w:sz w:val="20"/>
        </w:rPr>
        <w:t>05</w:t>
      </w:r>
      <w:r w:rsidRPr="00CE16B0">
        <w:rPr>
          <w:rFonts w:eastAsia="標楷體"/>
          <w:sz w:val="20"/>
        </w:rPr>
        <w:t>/201</w:t>
      </w:r>
      <w:r w:rsidR="003169A0">
        <w:rPr>
          <w:rFonts w:eastAsia="標楷體" w:hint="eastAsia"/>
          <w:sz w:val="20"/>
        </w:rPr>
        <w:t>9</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977BEA" w:rsidRDefault="008D0588" w:rsidP="008D0588">
            <w:pPr>
              <w:snapToGrid w:val="0"/>
              <w:spacing w:line="240" w:lineRule="exact"/>
              <w:rPr>
                <w:rFonts w:eastAsia="標楷體"/>
                <w:color w:val="FF0000"/>
                <w:sz w:val="16"/>
                <w:szCs w:val="16"/>
              </w:rPr>
            </w:pPr>
            <w:r w:rsidRPr="00977BEA">
              <w:rPr>
                <w:rFonts w:eastAsia="標楷體"/>
                <w:color w:val="FF0000"/>
                <w:sz w:val="16"/>
                <w:szCs w:val="16"/>
              </w:rPr>
              <w:t>Free elected credits</w:t>
            </w:r>
          </w:p>
          <w:p w14:paraId="20F9AAE3" w14:textId="77777777" w:rsidR="008D0588" w:rsidRPr="00977BEA" w:rsidRDefault="008D0588" w:rsidP="008D0588">
            <w:pPr>
              <w:rPr>
                <w:rFonts w:eastAsia="標楷體"/>
                <w:color w:val="000000"/>
                <w:sz w:val="16"/>
                <w:szCs w:val="16"/>
              </w:rPr>
            </w:pPr>
            <w:r w:rsidRPr="00977BEA">
              <w:rPr>
                <w:rFonts w:eastAsia="標楷體"/>
                <w:color w:val="FF0000"/>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A0ADB" w14:textId="77777777" w:rsidR="00FA5698" w:rsidRDefault="00FA5698" w:rsidP="00003C2C">
      <w:r>
        <w:separator/>
      </w:r>
    </w:p>
  </w:endnote>
  <w:endnote w:type="continuationSeparator" w:id="0">
    <w:p w14:paraId="68AF668D" w14:textId="77777777" w:rsidR="00FA5698" w:rsidRDefault="00FA5698"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52AB" w14:textId="77777777" w:rsidR="00FA5698" w:rsidRDefault="00FA5698" w:rsidP="00003C2C">
      <w:r>
        <w:separator/>
      </w:r>
    </w:p>
  </w:footnote>
  <w:footnote w:type="continuationSeparator" w:id="0">
    <w:p w14:paraId="371C6BB7" w14:textId="77777777" w:rsidR="00FA5698" w:rsidRDefault="00FA5698"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12D8"/>
    <w:rsid w:val="00F51442"/>
    <w:rsid w:val="00F51C5D"/>
    <w:rsid w:val="00F60498"/>
    <w:rsid w:val="00F6475C"/>
    <w:rsid w:val="00F72A72"/>
    <w:rsid w:val="00F74324"/>
    <w:rsid w:val="00F7644A"/>
    <w:rsid w:val="00F776C4"/>
    <w:rsid w:val="00F90F6C"/>
    <w:rsid w:val="00F91535"/>
    <w:rsid w:val="00F94CE3"/>
    <w:rsid w:val="00FA5698"/>
    <w:rsid w:val="00FA7595"/>
    <w:rsid w:val="00FB01FB"/>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7126</Characters>
  <Application>Microsoft Office Word</Application>
  <DocSecurity>0</DocSecurity>
  <Lines>59</Lines>
  <Paragraphs>16</Paragraphs>
  <ScaleCrop>false</ScaleCrop>
  <Company>thmu</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Ho Julia</cp:lastModifiedBy>
  <cp:revision>3</cp:revision>
  <cp:lastPrinted>2018-07-11T06:43:00Z</cp:lastPrinted>
  <dcterms:created xsi:type="dcterms:W3CDTF">2021-01-31T23:09:00Z</dcterms:created>
  <dcterms:modified xsi:type="dcterms:W3CDTF">2021-01-31T23:19:00Z</dcterms:modified>
</cp:coreProperties>
</file>